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A564" w14:textId="0D1C51F4" w:rsidR="00960B44" w:rsidRPr="00DC3921"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de-DE"/>
        </w:rPr>
      </w:pPr>
      <w:r w:rsidRPr="00DC3921">
        <w:rPr>
          <w:rFonts w:ascii="Times New Roman" w:eastAsia="SimSun" w:hAnsi="Times New Roman" w:cs="Times New Roman"/>
          <w:b/>
          <w:noProof/>
          <w:sz w:val="24"/>
          <w:szCs w:val="20"/>
          <w:lang w:val="de-DE" w:eastAsia="zh-CN"/>
        </w:rPr>
        <w:t>3GPP TSG-RA</w:t>
      </w:r>
      <w:r w:rsidR="00E73984" w:rsidRPr="00DC3921">
        <w:rPr>
          <w:rFonts w:ascii="Times New Roman" w:eastAsia="SimSun" w:hAnsi="Times New Roman" w:cs="Times New Roman"/>
          <w:b/>
          <w:noProof/>
          <w:sz w:val="24"/>
          <w:szCs w:val="20"/>
          <w:lang w:val="de-DE" w:eastAsia="zh-CN"/>
        </w:rPr>
        <w:t>N</w:t>
      </w:r>
      <w:r w:rsidR="00EC7CC3" w:rsidRPr="00DC3921">
        <w:rPr>
          <w:rFonts w:ascii="Times New Roman" w:eastAsia="SimSun" w:hAnsi="Times New Roman" w:cs="Times New Roman"/>
          <w:b/>
          <w:noProof/>
          <w:sz w:val="24"/>
          <w:szCs w:val="20"/>
          <w:lang w:val="de-DE" w:eastAsia="zh-CN"/>
        </w:rPr>
        <w:t>2</w:t>
      </w:r>
      <w:r w:rsidR="00E73984" w:rsidRPr="00DC3921">
        <w:rPr>
          <w:rFonts w:ascii="Times New Roman" w:eastAsia="SimSun" w:hAnsi="Times New Roman" w:cs="Times New Roman"/>
          <w:b/>
          <w:noProof/>
          <w:sz w:val="24"/>
          <w:szCs w:val="20"/>
          <w:lang w:val="de-DE" w:eastAsia="zh-CN"/>
        </w:rPr>
        <w:t>#11</w:t>
      </w:r>
      <w:r w:rsidR="001F657F" w:rsidRPr="00DC3921">
        <w:rPr>
          <w:rFonts w:ascii="Times New Roman" w:eastAsia="SimSun" w:hAnsi="Times New Roman" w:cs="Times New Roman"/>
          <w:b/>
          <w:noProof/>
          <w:sz w:val="24"/>
          <w:szCs w:val="20"/>
          <w:lang w:val="de-DE" w:eastAsia="zh-CN"/>
        </w:rPr>
        <w:t>9</w:t>
      </w:r>
      <w:r w:rsidR="00DC3921" w:rsidRPr="00DC3921">
        <w:rPr>
          <w:rFonts w:ascii="Times New Roman" w:eastAsia="SimSun" w:hAnsi="Times New Roman" w:cs="Times New Roman"/>
          <w:b/>
          <w:noProof/>
          <w:sz w:val="24"/>
          <w:szCs w:val="20"/>
          <w:lang w:val="de-DE" w:eastAsia="zh-CN"/>
        </w:rPr>
        <w:t>bis-</w:t>
      </w:r>
      <w:r w:rsidR="00E73984" w:rsidRPr="00DC3921">
        <w:rPr>
          <w:rFonts w:ascii="Times New Roman" w:eastAsia="SimSun" w:hAnsi="Times New Roman" w:cs="Times New Roman"/>
          <w:b/>
          <w:noProof/>
          <w:sz w:val="24"/>
          <w:szCs w:val="20"/>
          <w:lang w:val="de-DE" w:eastAsia="zh-CN"/>
        </w:rPr>
        <w:t>e</w:t>
      </w:r>
      <w:r w:rsidRPr="00DC3921">
        <w:rPr>
          <w:rFonts w:ascii="Times New Roman" w:eastAsia="SimSun" w:hAnsi="Times New Roman" w:cs="Times New Roman"/>
          <w:b/>
          <w:noProof/>
          <w:sz w:val="24"/>
          <w:szCs w:val="20"/>
          <w:lang w:val="de-DE" w:eastAsia="zh-CN"/>
        </w:rPr>
        <w:tab/>
      </w:r>
      <w:r w:rsidR="00A948BC" w:rsidRPr="00DC3921">
        <w:rPr>
          <w:rFonts w:ascii="Times New Roman" w:eastAsia="SimSun" w:hAnsi="Times New Roman" w:cs="Times New Roman"/>
          <w:b/>
          <w:noProof/>
          <w:sz w:val="24"/>
          <w:szCs w:val="20"/>
          <w:lang w:val="de-DE" w:eastAsia="zh-CN"/>
        </w:rPr>
        <w:t>R2-22</w:t>
      </w:r>
      <w:r w:rsidR="003A3CBD">
        <w:rPr>
          <w:rFonts w:ascii="Times New Roman" w:eastAsia="SimSun" w:hAnsi="Times New Roman" w:cs="Times New Roman"/>
          <w:b/>
          <w:noProof/>
          <w:sz w:val="24"/>
          <w:szCs w:val="20"/>
          <w:lang w:val="de-DE" w:eastAsia="zh-CN"/>
        </w:rPr>
        <w:t>10231</w:t>
      </w:r>
    </w:p>
    <w:p w14:paraId="6D7FEBCE" w14:textId="2DA2B5B7" w:rsidR="00960B44" w:rsidRPr="007022BC"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7022BC">
        <w:rPr>
          <w:rFonts w:ascii="Times New Roman" w:eastAsia="SimSun" w:hAnsi="Times New Roman" w:cs="Times New Roman"/>
          <w:b/>
          <w:noProof/>
          <w:sz w:val="24"/>
          <w:szCs w:val="20"/>
          <w:lang w:eastAsia="zh-CN"/>
        </w:rPr>
        <w:t xml:space="preserve">Online, </w:t>
      </w:r>
      <w:r w:rsidR="00DC3921">
        <w:rPr>
          <w:rFonts w:ascii="Times New Roman" w:eastAsia="SimSun" w:hAnsi="Times New Roman" w:cs="Times New Roman"/>
          <w:b/>
          <w:bCs/>
          <w:noProof/>
          <w:sz w:val="24"/>
          <w:szCs w:val="20"/>
        </w:rPr>
        <w:t xml:space="preserve">October </w:t>
      </w:r>
      <w:r w:rsidRPr="007022BC">
        <w:rPr>
          <w:rFonts w:ascii="Times New Roman" w:eastAsia="SimSun" w:hAnsi="Times New Roman" w:cs="Times New Roman"/>
          <w:b/>
          <w:bCs/>
          <w:noProof/>
          <w:sz w:val="24"/>
          <w:szCs w:val="20"/>
        </w:rPr>
        <w:t>2022</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0E447AED"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9F6F3F">
        <w:rPr>
          <w:rFonts w:ascii="Times New Roman" w:eastAsia="SimSun" w:hAnsi="Times New Roman" w:cs="Times New Roman"/>
          <w:b/>
          <w:bCs/>
          <w:kern w:val="2"/>
          <w:sz w:val="24"/>
          <w:lang w:eastAsia="zh-CN"/>
        </w:rPr>
        <w:t>8.</w:t>
      </w:r>
      <w:r w:rsidR="007549E8">
        <w:rPr>
          <w:rFonts w:ascii="Times New Roman" w:eastAsia="SimSun" w:hAnsi="Times New Roman" w:cs="Times New Roman"/>
          <w:b/>
          <w:bCs/>
          <w:kern w:val="2"/>
          <w:sz w:val="24"/>
          <w:lang w:eastAsia="zh-CN"/>
        </w:rPr>
        <w:t>4</w:t>
      </w:r>
      <w:r w:rsidR="00D41CA6">
        <w:rPr>
          <w:rFonts w:ascii="Times New Roman" w:eastAsia="SimSun" w:hAnsi="Times New Roman" w:cs="Times New Roman"/>
          <w:b/>
          <w:bCs/>
          <w:kern w:val="2"/>
          <w:sz w:val="24"/>
          <w:lang w:eastAsia="zh-CN"/>
        </w:rPr>
        <w:t>.</w:t>
      </w:r>
      <w:r w:rsidR="009F6F3F">
        <w:rPr>
          <w:rFonts w:ascii="Times New Roman" w:eastAsia="SimSun" w:hAnsi="Times New Roman" w:cs="Times New Roman"/>
          <w:b/>
          <w:bCs/>
          <w:kern w:val="2"/>
          <w:sz w:val="24"/>
          <w:lang w:eastAsia="zh-CN"/>
        </w:rPr>
        <w:t>2</w:t>
      </w:r>
      <w:r w:rsidR="00AE1FF9">
        <w:rPr>
          <w:rFonts w:ascii="Times New Roman" w:eastAsia="SimSun" w:hAnsi="Times New Roman" w:cs="Times New Roman"/>
          <w:b/>
          <w:bCs/>
          <w:kern w:val="2"/>
          <w:sz w:val="24"/>
          <w:lang w:eastAsia="zh-CN"/>
        </w:rPr>
        <w:t>.</w:t>
      </w:r>
      <w:r w:rsidR="008F7661">
        <w:rPr>
          <w:rFonts w:ascii="Times New Roman" w:eastAsia="SimSun" w:hAnsi="Times New Roman" w:cs="Times New Roman"/>
          <w:b/>
          <w:bCs/>
          <w:kern w:val="2"/>
          <w:sz w:val="24"/>
          <w:lang w:eastAsia="zh-CN"/>
        </w:rPr>
        <w:t>4</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2A6A496A"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C82476">
        <w:rPr>
          <w:rFonts w:ascii="Times New Roman" w:eastAsia="SimSun" w:hAnsi="Times New Roman" w:cs="Times New Roman"/>
          <w:b/>
          <w:bCs/>
          <w:kern w:val="2"/>
          <w:sz w:val="24"/>
          <w:lang w:eastAsia="zh-CN"/>
        </w:rPr>
        <w:t>Mobility procedural delegation to lower layers</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0EC771E9" w14:textId="2C36B452" w:rsidR="00DA6BD7" w:rsidRPr="00484DDA" w:rsidRDefault="00165DC3" w:rsidP="004537EC">
      <w:pPr>
        <w:overflowPunct w:val="0"/>
        <w:autoSpaceDE w:val="0"/>
        <w:autoSpaceDN w:val="0"/>
        <w:adjustRightInd w:val="0"/>
        <w:spacing w:after="180" w:line="240" w:lineRule="auto"/>
        <w:textAlignment w:val="baseline"/>
        <w:rPr>
          <w:rFonts w:ascii="Garamond" w:eastAsia="MS Mincho" w:hAnsi="Garamond" w:cs="Times New Roman"/>
          <w:bCs/>
          <w:sz w:val="20"/>
          <w:szCs w:val="20"/>
          <w:lang w:val="en-GB"/>
        </w:rPr>
      </w:pPr>
      <w:bookmarkStart w:id="2" w:name="Proposal_Beacon"/>
      <w:r w:rsidRPr="00165DC3">
        <w:rPr>
          <w:rFonts w:ascii="Garamond" w:eastAsia="MS Mincho" w:hAnsi="Garamond" w:cs="Times New Roman"/>
          <w:bCs/>
          <w:sz w:val="20"/>
          <w:szCs w:val="20"/>
          <w:lang w:val="en-GB"/>
        </w:rPr>
        <w:t xml:space="preserve">Inter cell BM </w:t>
      </w:r>
      <w:r w:rsidR="004537EC">
        <w:rPr>
          <w:rFonts w:ascii="Garamond" w:eastAsia="MS Mincho" w:hAnsi="Garamond" w:cs="Times New Roman"/>
          <w:bCs/>
          <w:sz w:val="20"/>
          <w:szCs w:val="20"/>
          <w:lang w:val="en-GB"/>
        </w:rPr>
        <w:t xml:space="preserve">and a further optimized </w:t>
      </w:r>
      <w:r w:rsidRPr="00165DC3">
        <w:rPr>
          <w:rFonts w:ascii="Garamond" w:eastAsia="MS Mincho" w:hAnsi="Garamond" w:cs="Times New Roman"/>
          <w:bCs/>
          <w:sz w:val="20"/>
          <w:szCs w:val="20"/>
          <w:lang w:val="en-GB"/>
        </w:rPr>
        <w:t xml:space="preserve">L1 measurements </w:t>
      </w:r>
      <w:r w:rsidR="004537EC">
        <w:rPr>
          <w:rFonts w:ascii="Garamond" w:eastAsia="MS Mincho" w:hAnsi="Garamond" w:cs="Times New Roman"/>
          <w:bCs/>
          <w:sz w:val="20"/>
          <w:szCs w:val="20"/>
          <w:lang w:val="en-GB"/>
        </w:rPr>
        <w:t xml:space="preserve">will play important role in bringing down the mobility latency and data interruption time towards fulfilling the R18 mobility enhancement objectives. This document looks at the functionality available from Rel. 17 that can be used as baseline and </w:t>
      </w:r>
      <w:r w:rsidR="00C92DB8">
        <w:rPr>
          <w:rFonts w:ascii="Garamond" w:eastAsia="MS Mincho" w:hAnsi="Garamond" w:cs="Times New Roman"/>
          <w:bCs/>
          <w:sz w:val="20"/>
          <w:szCs w:val="20"/>
          <w:lang w:val="en-GB"/>
        </w:rPr>
        <w:t>takes</w:t>
      </w:r>
      <w:r w:rsidR="004537EC">
        <w:rPr>
          <w:rFonts w:ascii="Garamond" w:eastAsia="MS Mincho" w:hAnsi="Garamond" w:cs="Times New Roman"/>
          <w:bCs/>
          <w:sz w:val="20"/>
          <w:szCs w:val="20"/>
          <w:lang w:val="en-GB"/>
        </w:rPr>
        <w:t xml:space="preserve"> a first look at the further work required</w:t>
      </w:r>
      <w:r w:rsidR="001C791C" w:rsidRPr="00484DDA">
        <w:rPr>
          <w:rFonts w:ascii="Garamond" w:eastAsia="MS Mincho" w:hAnsi="Garamond" w:cs="Times New Roman"/>
          <w:bCs/>
          <w:sz w:val="20"/>
          <w:szCs w:val="20"/>
          <w:lang w:val="en-GB"/>
        </w:rPr>
        <w:t>.</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Discussion</w:t>
      </w:r>
    </w:p>
    <w:bookmarkEnd w:id="2"/>
    <w:p w14:paraId="6983CE3D" w14:textId="2B5F06C6" w:rsidR="00DB7631" w:rsidRDefault="00DB7631" w:rsidP="00671B79">
      <w:pPr>
        <w:overflowPunct w:val="0"/>
        <w:autoSpaceDE w:val="0"/>
        <w:autoSpaceDN w:val="0"/>
        <w:adjustRightInd w:val="0"/>
        <w:spacing w:after="180" w:line="240" w:lineRule="auto"/>
        <w:textAlignment w:val="baseline"/>
        <w:rPr>
          <w:rFonts w:ascii="Garamond" w:eastAsia="MS Mincho" w:hAnsi="Garamond" w:cs="Times New Roman"/>
          <w:sz w:val="20"/>
          <w:szCs w:val="20"/>
        </w:rPr>
      </w:pPr>
    </w:p>
    <w:p w14:paraId="23EACE5B" w14:textId="061EDFFE" w:rsidR="00F6771A" w:rsidRPr="00884829" w:rsidRDefault="00884829" w:rsidP="00671B79">
      <w:pPr>
        <w:overflowPunct w:val="0"/>
        <w:autoSpaceDE w:val="0"/>
        <w:autoSpaceDN w:val="0"/>
        <w:adjustRightInd w:val="0"/>
        <w:spacing w:after="180" w:line="240" w:lineRule="auto"/>
        <w:textAlignment w:val="baseline"/>
        <w:rPr>
          <w:rFonts w:ascii="Garamond" w:eastAsia="MS Mincho" w:hAnsi="Garamond" w:cs="Times New Roman"/>
          <w:sz w:val="20"/>
          <w:szCs w:val="20"/>
        </w:rPr>
      </w:pPr>
      <w:r w:rsidRPr="00884829">
        <w:rPr>
          <w:rFonts w:ascii="Garamond" w:eastAsia="MS Mincho" w:hAnsi="Garamond" w:cs="Times New Roman"/>
          <w:sz w:val="20"/>
          <w:szCs w:val="20"/>
        </w:rPr>
        <w:t>In the last meeting the following agreement was reached:</w:t>
      </w:r>
    </w:p>
    <w:tbl>
      <w:tblPr>
        <w:tblStyle w:val="TableGrid"/>
        <w:tblW w:w="0" w:type="auto"/>
        <w:tblLook w:val="04A0" w:firstRow="1" w:lastRow="0" w:firstColumn="1" w:lastColumn="0" w:noHBand="0" w:noVBand="1"/>
      </w:tblPr>
      <w:tblGrid>
        <w:gridCol w:w="9350"/>
      </w:tblGrid>
      <w:tr w:rsidR="00BD622F" w14:paraId="2523919E" w14:textId="77777777" w:rsidTr="00B03414">
        <w:tc>
          <w:tcPr>
            <w:tcW w:w="9350" w:type="dxa"/>
          </w:tcPr>
          <w:p w14:paraId="12DA4649" w14:textId="77777777" w:rsidR="00BD622F" w:rsidRPr="00135D25" w:rsidRDefault="00BD622F" w:rsidP="00BD622F">
            <w:pPr>
              <w:pStyle w:val="Agreement"/>
              <w:rPr>
                <w:b w:val="0"/>
                <w:bCs/>
                <w:i/>
                <w:iCs/>
              </w:rPr>
            </w:pPr>
            <w:r w:rsidRPr="00135D25">
              <w:rPr>
                <w:b w:val="0"/>
                <w:bCs/>
                <w:i/>
                <w:iCs/>
              </w:rPr>
              <w:t>ICBM is one scenario considered for L1L2 mobility, but is not the only one, and is not a prerequisite for using L1L2 mobility.</w:t>
            </w:r>
          </w:p>
          <w:p w14:paraId="5AC726AD" w14:textId="77777777" w:rsidR="00BD622F" w:rsidRPr="00927F79" w:rsidRDefault="00BD622F" w:rsidP="00B03414">
            <w:pPr>
              <w:pStyle w:val="Comments"/>
            </w:pPr>
          </w:p>
        </w:tc>
      </w:tr>
    </w:tbl>
    <w:p w14:paraId="60961AE9" w14:textId="77777777" w:rsidR="00BD622F" w:rsidRDefault="00BD622F" w:rsidP="00BD622F">
      <w:pPr>
        <w:pStyle w:val="Comments"/>
        <w:rPr>
          <w:lang w:val="en-US"/>
        </w:rPr>
      </w:pPr>
    </w:p>
    <w:p w14:paraId="7993458A" w14:textId="4D039C70" w:rsidR="00BD622F" w:rsidRPr="00497F46" w:rsidRDefault="00BD622F" w:rsidP="00BD622F">
      <w:pPr>
        <w:rPr>
          <w:rFonts w:ascii="Garamond" w:hAnsi="Garamond"/>
          <w:sz w:val="20"/>
          <w:szCs w:val="20"/>
        </w:rPr>
      </w:pPr>
      <w:r w:rsidRPr="00497F46">
        <w:rPr>
          <w:rFonts w:ascii="Garamond" w:hAnsi="Garamond"/>
          <w:sz w:val="20"/>
          <w:szCs w:val="20"/>
        </w:rPr>
        <w:t>If the release 17 ICBM and concept of “additional cell” is extended, then the UE can perform Beam Management</w:t>
      </w:r>
      <w:r w:rsidR="006D0714">
        <w:rPr>
          <w:rFonts w:ascii="Garamond" w:hAnsi="Garamond"/>
          <w:sz w:val="20"/>
          <w:szCs w:val="20"/>
        </w:rPr>
        <w:t>, extending multi TRP scenario to non-serving cells,</w:t>
      </w:r>
      <w:r w:rsidRPr="00497F46">
        <w:rPr>
          <w:rFonts w:ascii="Garamond" w:hAnsi="Garamond"/>
          <w:sz w:val="20"/>
          <w:szCs w:val="20"/>
        </w:rPr>
        <w:t xml:space="preserve"> across candidate configuration. </w:t>
      </w:r>
      <w:r w:rsidR="001E7CD5">
        <w:rPr>
          <w:rFonts w:ascii="Garamond" w:hAnsi="Garamond"/>
          <w:sz w:val="20"/>
          <w:szCs w:val="20"/>
        </w:rPr>
        <w:t>Further</w:t>
      </w:r>
      <w:r w:rsidRPr="00497F46">
        <w:rPr>
          <w:rFonts w:ascii="Garamond" w:hAnsi="Garamond"/>
          <w:sz w:val="20"/>
          <w:szCs w:val="20"/>
        </w:rPr>
        <w:t>, beams from a more “promising” candidate can be consolidated into cell quality, ultimately resulting into mobility e.g., when the target SpCell quality</w:t>
      </w:r>
      <w:r w:rsidR="0095696E">
        <w:rPr>
          <w:rFonts w:ascii="Garamond" w:hAnsi="Garamond"/>
          <w:sz w:val="20"/>
          <w:szCs w:val="20"/>
        </w:rPr>
        <w:t xml:space="preserve"> satisfies a certain threshold</w:t>
      </w:r>
      <w:r w:rsidRPr="00497F46">
        <w:rPr>
          <w:rFonts w:ascii="Garamond" w:hAnsi="Garamond"/>
          <w:sz w:val="20"/>
          <w:szCs w:val="20"/>
        </w:rPr>
        <w:t>.</w:t>
      </w:r>
      <w:r w:rsidR="009829CD">
        <w:rPr>
          <w:rFonts w:ascii="Garamond" w:hAnsi="Garamond"/>
          <w:sz w:val="20"/>
          <w:szCs w:val="20"/>
        </w:rPr>
        <w:t xml:space="preserve"> This is of course a simplified picture</w:t>
      </w:r>
      <w:r w:rsidR="00E403C3">
        <w:rPr>
          <w:rFonts w:ascii="Garamond" w:hAnsi="Garamond"/>
          <w:sz w:val="20"/>
          <w:szCs w:val="20"/>
        </w:rPr>
        <w:t>,</w:t>
      </w:r>
      <w:r w:rsidR="009829CD">
        <w:rPr>
          <w:rFonts w:ascii="Garamond" w:hAnsi="Garamond"/>
          <w:sz w:val="20"/>
          <w:szCs w:val="20"/>
        </w:rPr>
        <w:t xml:space="preserve"> and it needs to be seen if non-active TRPs from R18-additional cells can be “maintained” without needing to frequently update the mTRP/ additional cell configuration in the UE?</w:t>
      </w:r>
    </w:p>
    <w:p w14:paraId="21DFCABA" w14:textId="526D5C6A" w:rsidR="00BD622F" w:rsidRPr="00497F46" w:rsidRDefault="00FF00BB" w:rsidP="00BD622F">
      <w:pPr>
        <w:rPr>
          <w:rFonts w:ascii="Garamond" w:hAnsi="Garamond"/>
          <w:sz w:val="20"/>
          <w:szCs w:val="20"/>
        </w:rPr>
      </w:pPr>
      <w:r>
        <w:rPr>
          <w:rFonts w:ascii="Garamond" w:hAnsi="Garamond"/>
          <w:sz w:val="20"/>
          <w:szCs w:val="20"/>
        </w:rPr>
        <w:t xml:space="preserve">Further, </w:t>
      </w:r>
      <w:r w:rsidR="00BD622F" w:rsidRPr="00497F46">
        <w:rPr>
          <w:rFonts w:ascii="Garamond" w:hAnsi="Garamond"/>
          <w:sz w:val="20"/>
          <w:szCs w:val="20"/>
        </w:rPr>
        <w:t>RAN2 wants to focus initially on PCell mobility, and it should be possible to also “move” the CA configuration along with the PCell, as seen from the below agreements:</w:t>
      </w:r>
    </w:p>
    <w:tbl>
      <w:tblPr>
        <w:tblStyle w:val="TableGrid"/>
        <w:tblW w:w="0" w:type="auto"/>
        <w:tblLook w:val="04A0" w:firstRow="1" w:lastRow="0" w:firstColumn="1" w:lastColumn="0" w:noHBand="0" w:noVBand="1"/>
      </w:tblPr>
      <w:tblGrid>
        <w:gridCol w:w="9350"/>
      </w:tblGrid>
      <w:tr w:rsidR="00BD622F" w14:paraId="36568772" w14:textId="77777777" w:rsidTr="00B03414">
        <w:tc>
          <w:tcPr>
            <w:tcW w:w="9350" w:type="dxa"/>
          </w:tcPr>
          <w:p w14:paraId="21710455" w14:textId="77777777" w:rsidR="00BD622F" w:rsidRPr="00037EC7" w:rsidRDefault="00BD622F" w:rsidP="00BD622F">
            <w:pPr>
              <w:pStyle w:val="Agreement"/>
              <w:tabs>
                <w:tab w:val="clear" w:pos="360"/>
                <w:tab w:val="num" w:pos="1619"/>
              </w:tabs>
              <w:rPr>
                <w:b w:val="0"/>
                <w:bCs/>
                <w:i/>
                <w:iCs/>
              </w:rPr>
            </w:pPr>
            <w:r w:rsidRPr="00037EC7">
              <w:rPr>
                <w:b w:val="0"/>
                <w:bCs/>
                <w:i/>
                <w:iCs/>
              </w:rPr>
              <w:t xml:space="preserve">R2 will initially focus on PCell mobility. </w:t>
            </w:r>
          </w:p>
          <w:p w14:paraId="07C004A7" w14:textId="77777777" w:rsidR="00BD622F" w:rsidRPr="00037EC7" w:rsidRDefault="00BD622F" w:rsidP="00BD622F">
            <w:pPr>
              <w:pStyle w:val="Agreement"/>
              <w:tabs>
                <w:tab w:val="clear" w:pos="360"/>
                <w:tab w:val="num" w:pos="1619"/>
              </w:tabs>
              <w:rPr>
                <w:b w:val="0"/>
                <w:bCs/>
                <w:i/>
                <w:iCs/>
                <w:lang w:eastAsia="zh-CN"/>
              </w:rPr>
            </w:pPr>
            <w:r w:rsidRPr="00037EC7">
              <w:rPr>
                <w:b w:val="0"/>
                <w:bCs/>
                <w:i/>
                <w:iCs/>
                <w:lang w:eastAsia="zh-CN"/>
              </w:rPr>
              <w:t>R2 assumption: Rel-18 L1/L2 mobility includes both non-CA (PCell only) and CA scenarios (PCell and SCell). This includes the following cases</w:t>
            </w:r>
          </w:p>
          <w:p w14:paraId="6C7F30FD" w14:textId="77777777" w:rsidR="00BD622F" w:rsidRPr="00037EC7" w:rsidRDefault="00BD622F" w:rsidP="00B03414">
            <w:pPr>
              <w:pStyle w:val="Agreement"/>
              <w:numPr>
                <w:ilvl w:val="0"/>
                <w:numId w:val="0"/>
              </w:numPr>
              <w:ind w:left="360"/>
              <w:rPr>
                <w:b w:val="0"/>
                <w:bCs/>
                <w:i/>
                <w:iCs/>
                <w:lang w:eastAsia="zh-CN"/>
              </w:rPr>
            </w:pPr>
            <w:r w:rsidRPr="00037EC7">
              <w:rPr>
                <w:b w:val="0"/>
                <w:bCs/>
                <w:i/>
                <w:iCs/>
                <w:lang w:eastAsia="zh-CN"/>
              </w:rPr>
              <w:t xml:space="preserve">a) the target PCell/target SCell(s) is not a current serving cell (CA </w:t>
            </w:r>
            <w:r w:rsidRPr="00037EC7">
              <w:rPr>
                <w:b w:val="0"/>
                <w:bCs/>
                <w:i/>
                <w:iCs/>
                <w:lang w:eastAsia="zh-CN"/>
              </w:rPr>
              <w:sym w:font="Wingdings" w:char="F0E0"/>
            </w:r>
            <w:r w:rsidRPr="00037EC7">
              <w:rPr>
                <w:b w:val="0"/>
                <w:bCs/>
                <w:i/>
                <w:iCs/>
                <w:lang w:eastAsia="zh-CN"/>
              </w:rPr>
              <w:t xml:space="preserve"> CA scenario with PCell change)</w:t>
            </w:r>
          </w:p>
          <w:p w14:paraId="66874E32" w14:textId="77777777" w:rsidR="00BD622F" w:rsidRPr="00037EC7" w:rsidRDefault="00BD622F" w:rsidP="00B03414">
            <w:pPr>
              <w:pStyle w:val="Agreement"/>
              <w:numPr>
                <w:ilvl w:val="0"/>
                <w:numId w:val="0"/>
              </w:numPr>
              <w:ind w:left="360"/>
              <w:rPr>
                <w:b w:val="0"/>
                <w:bCs/>
                <w:i/>
                <w:iCs/>
                <w:lang w:eastAsia="zh-CN"/>
              </w:rPr>
            </w:pPr>
            <w:r w:rsidRPr="00037EC7">
              <w:rPr>
                <w:b w:val="0"/>
                <w:bCs/>
                <w:i/>
                <w:iCs/>
                <w:lang w:eastAsia="zh-CN"/>
              </w:rPr>
              <w:t>b) FFS the target PCell is a current SCell</w:t>
            </w:r>
          </w:p>
          <w:p w14:paraId="6FCFD0C4" w14:textId="77777777" w:rsidR="00BD622F" w:rsidRPr="00037EC7" w:rsidRDefault="00BD622F" w:rsidP="00B03414">
            <w:pPr>
              <w:pStyle w:val="Agreement"/>
              <w:numPr>
                <w:ilvl w:val="0"/>
                <w:numId w:val="0"/>
              </w:numPr>
              <w:ind w:left="360"/>
              <w:rPr>
                <w:b w:val="0"/>
                <w:bCs/>
                <w:i/>
                <w:iCs/>
                <w:lang w:eastAsia="zh-CN"/>
              </w:rPr>
            </w:pPr>
            <w:r w:rsidRPr="00037EC7">
              <w:rPr>
                <w:b w:val="0"/>
                <w:bCs/>
                <w:i/>
                <w:iCs/>
                <w:lang w:eastAsia="zh-CN"/>
              </w:rPr>
              <w:t>c) FFS the target SCell is the current PCell.</w:t>
            </w:r>
          </w:p>
          <w:p w14:paraId="1288F208" w14:textId="77777777" w:rsidR="00BD622F" w:rsidRPr="00037EC7" w:rsidRDefault="00BD622F" w:rsidP="00BD622F">
            <w:pPr>
              <w:pStyle w:val="Agreement"/>
              <w:tabs>
                <w:tab w:val="clear" w:pos="360"/>
                <w:tab w:val="num" w:pos="1619"/>
              </w:tabs>
              <w:rPr>
                <w:b w:val="0"/>
                <w:bCs/>
                <w:i/>
                <w:iCs/>
                <w:lang w:eastAsia="zh-CN"/>
              </w:rPr>
            </w:pPr>
            <w:r w:rsidRPr="00037EC7">
              <w:rPr>
                <w:b w:val="0"/>
                <w:bCs/>
                <w:i/>
                <w:iCs/>
                <w:lang w:eastAsia="zh-CN"/>
              </w:rPr>
              <w:t>DC scenarios are FFS (</w:t>
            </w:r>
            <w:proofErr w:type="gramStart"/>
            <w:r w:rsidRPr="00037EC7">
              <w:rPr>
                <w:b w:val="0"/>
                <w:bCs/>
                <w:i/>
                <w:iCs/>
                <w:lang w:eastAsia="zh-CN"/>
              </w:rPr>
              <w:t>e.g.</w:t>
            </w:r>
            <w:proofErr w:type="gramEnd"/>
            <w:r w:rsidRPr="00037EC7">
              <w:rPr>
                <w:b w:val="0"/>
                <w:bCs/>
                <w:i/>
                <w:iCs/>
                <w:lang w:eastAsia="zh-CN"/>
              </w:rPr>
              <w:t xml:space="preserve"> PSCell mobility may be a low hanging fruit FFS). </w:t>
            </w:r>
          </w:p>
          <w:p w14:paraId="2AB9D614" w14:textId="77777777" w:rsidR="00BD622F" w:rsidRPr="00B179EF" w:rsidRDefault="00BD622F" w:rsidP="00B03414">
            <w:pPr>
              <w:rPr>
                <w:rFonts w:ascii="Garamond" w:hAnsi="Garamond"/>
                <w:lang w:val="en-GB"/>
              </w:rPr>
            </w:pPr>
          </w:p>
        </w:tc>
      </w:tr>
    </w:tbl>
    <w:p w14:paraId="3096F383" w14:textId="77777777" w:rsidR="00BD622F" w:rsidRDefault="00BD622F" w:rsidP="00BD622F">
      <w:pPr>
        <w:rPr>
          <w:rFonts w:ascii="Garamond" w:hAnsi="Garamond"/>
        </w:rPr>
      </w:pPr>
    </w:p>
    <w:p w14:paraId="00B6768D" w14:textId="77777777" w:rsidR="00AE0787" w:rsidRDefault="00BD622F" w:rsidP="00BD622F">
      <w:pPr>
        <w:rPr>
          <w:rFonts w:ascii="Garamond" w:hAnsi="Garamond"/>
          <w:sz w:val="20"/>
          <w:szCs w:val="20"/>
        </w:rPr>
      </w:pPr>
      <w:r w:rsidRPr="00C81562">
        <w:rPr>
          <w:rFonts w:ascii="Garamond" w:hAnsi="Garamond"/>
          <w:sz w:val="20"/>
          <w:szCs w:val="20"/>
        </w:rPr>
        <w:t>As the “additional cell” concept has been standardized in Rel. 17 already, this should be exploited to see if this can provide mobility opportunity in a wider area, where the “additional” cell may not be linked directly to a current serving cell and may stay as part of a deactivated configuration until a certain mobility near to this additional cell takes place.</w:t>
      </w:r>
    </w:p>
    <w:p w14:paraId="307FEBA7" w14:textId="4F122322" w:rsidR="008D068F" w:rsidRPr="008D068F" w:rsidRDefault="008D068F" w:rsidP="00BD622F">
      <w:pPr>
        <w:rPr>
          <w:rFonts w:ascii="Garamond" w:hAnsi="Garamond"/>
          <w:b/>
          <w:bCs/>
          <w:sz w:val="20"/>
          <w:szCs w:val="20"/>
        </w:rPr>
      </w:pPr>
      <w:r>
        <w:rPr>
          <w:rFonts w:ascii="Garamond" w:hAnsi="Garamond"/>
          <w:b/>
          <w:bCs/>
          <w:sz w:val="20"/>
          <w:szCs w:val="20"/>
        </w:rPr>
        <w:t xml:space="preserve">Proposal 1: </w:t>
      </w:r>
      <w:r w:rsidRPr="008D068F">
        <w:rPr>
          <w:rFonts w:ascii="Garamond" w:hAnsi="Garamond"/>
          <w:b/>
          <w:bCs/>
          <w:sz w:val="20"/>
          <w:szCs w:val="20"/>
        </w:rPr>
        <w:t xml:space="preserve">RAN2 </w:t>
      </w:r>
      <w:r w:rsidR="00AE6A3C">
        <w:rPr>
          <w:rFonts w:ascii="Garamond" w:hAnsi="Garamond"/>
          <w:b/>
          <w:bCs/>
          <w:sz w:val="20"/>
          <w:szCs w:val="20"/>
        </w:rPr>
        <w:t xml:space="preserve">kindly </w:t>
      </w:r>
      <w:r w:rsidRPr="008D068F">
        <w:rPr>
          <w:rFonts w:ascii="Garamond" w:hAnsi="Garamond"/>
          <w:b/>
          <w:bCs/>
          <w:sz w:val="20"/>
          <w:szCs w:val="20"/>
        </w:rPr>
        <w:t>discus</w:t>
      </w:r>
      <w:r w:rsidR="00AE6A3C">
        <w:rPr>
          <w:rFonts w:ascii="Garamond" w:hAnsi="Garamond"/>
          <w:b/>
          <w:bCs/>
          <w:sz w:val="20"/>
          <w:szCs w:val="20"/>
        </w:rPr>
        <w:t>s</w:t>
      </w:r>
      <w:r w:rsidRPr="008D068F">
        <w:rPr>
          <w:rFonts w:ascii="Garamond" w:hAnsi="Garamond"/>
          <w:b/>
          <w:bCs/>
          <w:sz w:val="20"/>
          <w:szCs w:val="20"/>
        </w:rPr>
        <w:t xml:space="preserve"> how to extend Additional Cell feature from Rel. 17 to fulfill Rel. 18 Mobility Enhancements.</w:t>
      </w:r>
    </w:p>
    <w:p w14:paraId="3F119EF3" w14:textId="77777777" w:rsidR="00A06ABA" w:rsidRDefault="00A06ABA" w:rsidP="00BD622F">
      <w:pPr>
        <w:rPr>
          <w:rFonts w:ascii="Garamond" w:hAnsi="Garamond"/>
          <w:sz w:val="20"/>
          <w:szCs w:val="20"/>
        </w:rPr>
      </w:pPr>
    </w:p>
    <w:p w14:paraId="036759B1" w14:textId="789D3FF7" w:rsidR="00A3787E" w:rsidRPr="007A3C27" w:rsidRDefault="00A3787E" w:rsidP="00F85304">
      <w:pPr>
        <w:rPr>
          <w:rFonts w:ascii="Garamond" w:hAnsi="Garamond"/>
          <w:sz w:val="20"/>
          <w:szCs w:val="20"/>
          <w:lang w:eastAsia="zh-CN"/>
        </w:rPr>
      </w:pPr>
      <w:r>
        <w:rPr>
          <w:rFonts w:ascii="Garamond" w:hAnsi="Garamond" w:hint="eastAsia"/>
          <w:sz w:val="20"/>
          <w:szCs w:val="20"/>
          <w:lang w:eastAsia="zh-CN"/>
        </w:rPr>
        <w:lastRenderedPageBreak/>
        <w:t>I</w:t>
      </w:r>
      <w:r>
        <w:rPr>
          <w:rFonts w:ascii="Garamond" w:hAnsi="Garamond"/>
          <w:sz w:val="20"/>
          <w:szCs w:val="20"/>
          <w:lang w:eastAsia="zh-CN"/>
        </w:rPr>
        <w:t>t was agreed that m</w:t>
      </w:r>
      <w:r w:rsidRPr="00AE6A3C">
        <w:rPr>
          <w:rFonts w:ascii="Garamond" w:hAnsi="Garamond"/>
          <w:sz w:val="20"/>
          <w:szCs w:val="20"/>
          <w:lang w:eastAsia="zh-CN"/>
        </w:rPr>
        <w:t xml:space="preserve">easurement delay </w:t>
      </w:r>
      <w:r w:rsidR="00745C40">
        <w:rPr>
          <w:rFonts w:ascii="Garamond" w:hAnsi="Garamond"/>
          <w:sz w:val="20"/>
          <w:szCs w:val="20"/>
          <w:lang w:eastAsia="zh-CN"/>
        </w:rPr>
        <w:t xml:space="preserve">reduction </w:t>
      </w:r>
      <w:r w:rsidRPr="00AE6A3C">
        <w:rPr>
          <w:rFonts w:ascii="Garamond" w:hAnsi="Garamond"/>
          <w:sz w:val="20"/>
          <w:szCs w:val="20"/>
          <w:lang w:eastAsia="zh-CN"/>
        </w:rPr>
        <w:t>can be considered in this work</w:t>
      </w:r>
      <w:r>
        <w:rPr>
          <w:rFonts w:ascii="Garamond" w:hAnsi="Garamond"/>
          <w:sz w:val="20"/>
          <w:szCs w:val="20"/>
          <w:lang w:eastAsia="zh-CN"/>
        </w:rPr>
        <w:t xml:space="preserve">. And </w:t>
      </w:r>
      <w:r w:rsidR="00745C40">
        <w:rPr>
          <w:rFonts w:ascii="Garamond" w:hAnsi="Garamond"/>
          <w:sz w:val="20"/>
          <w:szCs w:val="20"/>
          <w:lang w:eastAsia="zh-CN"/>
        </w:rPr>
        <w:t xml:space="preserve">some companies in </w:t>
      </w:r>
      <w:r>
        <w:rPr>
          <w:rFonts w:ascii="Garamond" w:hAnsi="Garamond"/>
          <w:sz w:val="20"/>
          <w:szCs w:val="20"/>
          <w:lang w:eastAsia="zh-CN"/>
        </w:rPr>
        <w:t xml:space="preserve">RAN2 assume that </w:t>
      </w:r>
      <w:r w:rsidRPr="00AE6A3C">
        <w:rPr>
          <w:rFonts w:ascii="Garamond" w:hAnsi="Garamond"/>
          <w:sz w:val="20"/>
          <w:szCs w:val="20"/>
          <w:lang w:eastAsia="zh-CN"/>
        </w:rPr>
        <w:t>L1 measurements can be used to trigger L1L2 mobility</w:t>
      </w:r>
      <w:r w:rsidR="007A3C27">
        <w:rPr>
          <w:rFonts w:ascii="Garamond" w:hAnsi="Garamond"/>
          <w:sz w:val="20"/>
          <w:szCs w:val="20"/>
          <w:lang w:eastAsia="zh-CN"/>
        </w:rPr>
        <w:t>.</w:t>
      </w:r>
      <w:r w:rsidR="008633BD">
        <w:rPr>
          <w:rFonts w:ascii="Garamond" w:hAnsi="Garamond"/>
          <w:sz w:val="20"/>
          <w:szCs w:val="20"/>
          <w:lang w:eastAsia="zh-CN"/>
        </w:rPr>
        <w:t xml:space="preserve"> The majority supports that dynamic switching can be triggered based on L1 measurement report. </w:t>
      </w:r>
      <w:r w:rsidR="00745C40">
        <w:rPr>
          <w:rFonts w:ascii="Garamond" w:hAnsi="Garamond"/>
          <w:sz w:val="20"/>
          <w:szCs w:val="20"/>
          <w:lang w:eastAsia="zh-CN"/>
        </w:rPr>
        <w:t xml:space="preserve">L1 based event triggering can’t use L3 filter but likely RAN1 can share their opinion on this including a possible remedy to ensure that event triggering in L1 </w:t>
      </w:r>
      <w:proofErr w:type="gramStart"/>
      <w:r w:rsidR="00745C40">
        <w:rPr>
          <w:rFonts w:ascii="Garamond" w:hAnsi="Garamond"/>
          <w:sz w:val="20"/>
          <w:szCs w:val="20"/>
          <w:lang w:eastAsia="zh-CN"/>
        </w:rPr>
        <w:t>are</w:t>
      </w:r>
      <w:proofErr w:type="gramEnd"/>
      <w:r w:rsidR="00745C40">
        <w:rPr>
          <w:rFonts w:ascii="Garamond" w:hAnsi="Garamond"/>
          <w:sz w:val="20"/>
          <w:szCs w:val="20"/>
          <w:lang w:eastAsia="zh-CN"/>
        </w:rPr>
        <w:t xml:space="preserve"> as stable as when using L3 based filtering</w:t>
      </w:r>
      <w:r w:rsidR="008633BD">
        <w:rPr>
          <w:rFonts w:ascii="Garamond" w:hAnsi="Garamond"/>
          <w:sz w:val="20"/>
          <w:szCs w:val="20"/>
          <w:lang w:eastAsia="zh-CN"/>
        </w:rPr>
        <w:t xml:space="preserve">. Therefore, </w:t>
      </w:r>
      <w:r w:rsidR="00745C40">
        <w:rPr>
          <w:rFonts w:ascii="Garamond" w:hAnsi="Garamond"/>
          <w:sz w:val="20"/>
          <w:szCs w:val="20"/>
          <w:lang w:eastAsia="zh-CN"/>
        </w:rPr>
        <w:t xml:space="preserve">we proposed below that </w:t>
      </w:r>
      <w:r w:rsidR="008633BD">
        <w:rPr>
          <w:rFonts w:ascii="Garamond" w:hAnsi="Garamond"/>
          <w:sz w:val="20"/>
          <w:szCs w:val="20"/>
          <w:lang w:eastAsia="zh-CN"/>
        </w:rPr>
        <w:t xml:space="preserve">L1 </w:t>
      </w:r>
      <w:r w:rsidR="00816E04">
        <w:rPr>
          <w:rFonts w:ascii="Garamond" w:hAnsi="Garamond"/>
          <w:sz w:val="20"/>
          <w:szCs w:val="20"/>
          <w:lang w:eastAsia="zh-CN"/>
        </w:rPr>
        <w:t>event-</w:t>
      </w:r>
      <w:r w:rsidR="008633BD">
        <w:rPr>
          <w:rFonts w:ascii="Garamond" w:hAnsi="Garamond"/>
          <w:sz w:val="20"/>
          <w:szCs w:val="20"/>
          <w:lang w:eastAsia="zh-CN"/>
        </w:rPr>
        <w:t xml:space="preserve">based measurement report should be </w:t>
      </w:r>
      <w:r w:rsidR="00745C40">
        <w:rPr>
          <w:rFonts w:ascii="Garamond" w:hAnsi="Garamond"/>
          <w:sz w:val="20"/>
          <w:szCs w:val="20"/>
          <w:lang w:eastAsia="zh-CN"/>
        </w:rPr>
        <w:t>further considered</w:t>
      </w:r>
      <w:r w:rsidR="008633BD">
        <w:rPr>
          <w:rFonts w:ascii="Garamond" w:hAnsi="Garamond"/>
          <w:sz w:val="20"/>
          <w:szCs w:val="20"/>
          <w:lang w:eastAsia="zh-CN"/>
        </w:rPr>
        <w:t>.</w:t>
      </w:r>
    </w:p>
    <w:p w14:paraId="282AD774" w14:textId="43ABDE51" w:rsidR="00A3787E" w:rsidRPr="00AE6A3C" w:rsidRDefault="00A3787E" w:rsidP="00F85304">
      <w:pPr>
        <w:rPr>
          <w:rFonts w:ascii="Garamond" w:hAnsi="Garamond"/>
          <w:b/>
          <w:bCs/>
          <w:sz w:val="20"/>
          <w:szCs w:val="20"/>
        </w:rPr>
      </w:pPr>
      <w:r>
        <w:rPr>
          <w:rFonts w:ascii="Garamond" w:hAnsi="Garamond"/>
          <w:b/>
          <w:bCs/>
          <w:sz w:val="20"/>
          <w:szCs w:val="20"/>
        </w:rPr>
        <w:t xml:space="preserve">Proposal </w:t>
      </w:r>
      <w:r w:rsidR="00EB56D4">
        <w:rPr>
          <w:rFonts w:ascii="Garamond" w:hAnsi="Garamond"/>
          <w:b/>
          <w:bCs/>
          <w:sz w:val="20"/>
          <w:szCs w:val="20"/>
        </w:rPr>
        <w:t>2</w:t>
      </w:r>
      <w:r>
        <w:rPr>
          <w:rFonts w:ascii="Garamond" w:hAnsi="Garamond"/>
          <w:b/>
          <w:bCs/>
          <w:sz w:val="20"/>
          <w:szCs w:val="20"/>
        </w:rPr>
        <w:t xml:space="preserve">: </w:t>
      </w:r>
      <w:r w:rsidRPr="00AE6A3C">
        <w:rPr>
          <w:rFonts w:ascii="Garamond" w:hAnsi="Garamond"/>
          <w:b/>
          <w:bCs/>
          <w:sz w:val="20"/>
          <w:szCs w:val="20"/>
        </w:rPr>
        <w:t xml:space="preserve">L1 </w:t>
      </w:r>
      <w:r w:rsidR="00816E04" w:rsidRPr="00AE6A3C">
        <w:rPr>
          <w:rFonts w:ascii="Garamond" w:hAnsi="Garamond"/>
          <w:b/>
          <w:bCs/>
          <w:sz w:val="20"/>
          <w:szCs w:val="20"/>
        </w:rPr>
        <w:t>event</w:t>
      </w:r>
      <w:r w:rsidR="00816E04">
        <w:rPr>
          <w:rFonts w:ascii="Garamond" w:hAnsi="Garamond"/>
          <w:b/>
          <w:bCs/>
          <w:sz w:val="20"/>
          <w:szCs w:val="20"/>
        </w:rPr>
        <w:t>-</w:t>
      </w:r>
      <w:r w:rsidRPr="00AE6A3C">
        <w:rPr>
          <w:rFonts w:ascii="Garamond" w:hAnsi="Garamond"/>
          <w:b/>
          <w:bCs/>
          <w:sz w:val="20"/>
          <w:szCs w:val="20"/>
        </w:rPr>
        <w:t xml:space="preserve">based measurement report should be </w:t>
      </w:r>
      <w:r w:rsidR="00745C40">
        <w:rPr>
          <w:rFonts w:ascii="Garamond" w:hAnsi="Garamond"/>
          <w:b/>
          <w:bCs/>
          <w:sz w:val="20"/>
          <w:szCs w:val="20"/>
        </w:rPr>
        <w:t>considered</w:t>
      </w:r>
      <w:r w:rsidR="00106FBF">
        <w:rPr>
          <w:rFonts w:ascii="Garamond" w:hAnsi="Garamond"/>
          <w:b/>
          <w:bCs/>
          <w:sz w:val="20"/>
          <w:szCs w:val="20"/>
        </w:rPr>
        <w:t>.</w:t>
      </w:r>
    </w:p>
    <w:p w14:paraId="185FB279" w14:textId="26C33903" w:rsidR="000C124B" w:rsidRPr="007022BC" w:rsidRDefault="000C124B" w:rsidP="000C124B">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6A9C4405" w:rsidR="00CE5633" w:rsidRPr="00742E3F" w:rsidRDefault="000C124B" w:rsidP="00F9300A">
      <w:pPr>
        <w:spacing w:afterLines="50" w:after="120"/>
        <w:rPr>
          <w:rFonts w:ascii="Garamond" w:hAnsi="Garamond" w:cs="Times New Roman"/>
          <w:sz w:val="20"/>
          <w:szCs w:val="20"/>
        </w:rPr>
      </w:pPr>
      <w:r w:rsidRPr="00742E3F">
        <w:rPr>
          <w:rFonts w:ascii="Garamond" w:hAnsi="Garamond" w:cs="Times New Roman"/>
          <w:sz w:val="20"/>
          <w:szCs w:val="20"/>
        </w:rPr>
        <w:t xml:space="preserve">In this contribution, </w:t>
      </w:r>
      <w:r w:rsidR="0086405A" w:rsidRPr="00742E3F">
        <w:rPr>
          <w:rFonts w:ascii="Garamond" w:hAnsi="Garamond" w:cs="Times New Roman"/>
          <w:sz w:val="20"/>
          <w:szCs w:val="20"/>
        </w:rPr>
        <w:t xml:space="preserve">following </w:t>
      </w:r>
      <w:r w:rsidRPr="00742E3F">
        <w:rPr>
          <w:rFonts w:ascii="Garamond" w:hAnsi="Garamond" w:cs="Times New Roman"/>
          <w:sz w:val="20"/>
          <w:szCs w:val="20"/>
        </w:rPr>
        <w:t>proposal</w:t>
      </w:r>
      <w:r w:rsidR="0086405A" w:rsidRPr="00742E3F">
        <w:rPr>
          <w:rFonts w:ascii="Garamond" w:hAnsi="Garamond" w:cs="Times New Roman"/>
          <w:sz w:val="20"/>
          <w:szCs w:val="20"/>
        </w:rPr>
        <w:t>s</w:t>
      </w:r>
      <w:r w:rsidRPr="00742E3F">
        <w:rPr>
          <w:rFonts w:ascii="Garamond" w:hAnsi="Garamond" w:cs="Times New Roman"/>
          <w:sz w:val="20"/>
          <w:szCs w:val="20"/>
        </w:rPr>
        <w:t xml:space="preserve"> </w:t>
      </w:r>
      <w:r w:rsidR="0086405A" w:rsidRPr="00742E3F">
        <w:rPr>
          <w:rFonts w:ascii="Garamond" w:hAnsi="Garamond" w:cs="Times New Roman"/>
          <w:sz w:val="20"/>
          <w:szCs w:val="20"/>
        </w:rPr>
        <w:t xml:space="preserve">are </w:t>
      </w:r>
      <w:r w:rsidRPr="00742E3F">
        <w:rPr>
          <w:rFonts w:ascii="Garamond" w:hAnsi="Garamond" w:cs="Times New Roman"/>
          <w:sz w:val="20"/>
          <w:szCs w:val="20"/>
        </w:rPr>
        <w:t>made:</w:t>
      </w:r>
      <w:bookmarkStart w:id="3" w:name="_Annex"/>
      <w:bookmarkEnd w:id="3"/>
    </w:p>
    <w:p w14:paraId="7EA59F01" w14:textId="77777777" w:rsidR="00B65898" w:rsidRPr="008D068F" w:rsidRDefault="00B65898" w:rsidP="00B65898">
      <w:pPr>
        <w:rPr>
          <w:rFonts w:ascii="Garamond" w:hAnsi="Garamond"/>
          <w:b/>
          <w:bCs/>
          <w:sz w:val="20"/>
          <w:szCs w:val="20"/>
        </w:rPr>
      </w:pPr>
      <w:r>
        <w:rPr>
          <w:rFonts w:ascii="Garamond" w:hAnsi="Garamond"/>
          <w:b/>
          <w:bCs/>
          <w:sz w:val="20"/>
          <w:szCs w:val="20"/>
        </w:rPr>
        <w:t xml:space="preserve">Proposal 1: </w:t>
      </w:r>
      <w:r w:rsidRPr="008D068F">
        <w:rPr>
          <w:rFonts w:ascii="Garamond" w:hAnsi="Garamond"/>
          <w:b/>
          <w:bCs/>
          <w:sz w:val="20"/>
          <w:szCs w:val="20"/>
        </w:rPr>
        <w:t>RAN2 discus further how to extend Additional Cell feature from Rel. 17 to fulfill Rel. 18 Mobility Enhancements.</w:t>
      </w:r>
    </w:p>
    <w:p w14:paraId="1734A2B7" w14:textId="77D85D30" w:rsidR="00EB2BDC" w:rsidRPr="009166F1" w:rsidRDefault="00816E04" w:rsidP="00816E04">
      <w:pPr>
        <w:rPr>
          <w:rFonts w:ascii="Garamond" w:hAnsi="Garamond"/>
          <w:b/>
          <w:bCs/>
          <w:sz w:val="20"/>
          <w:szCs w:val="20"/>
        </w:rPr>
      </w:pPr>
      <w:r>
        <w:rPr>
          <w:rFonts w:ascii="Garamond" w:hAnsi="Garamond"/>
          <w:b/>
          <w:bCs/>
          <w:sz w:val="20"/>
          <w:szCs w:val="20"/>
        </w:rPr>
        <w:t xml:space="preserve">Proposal 2: </w:t>
      </w:r>
      <w:r w:rsidRPr="00AE6A3C">
        <w:rPr>
          <w:rFonts w:ascii="Garamond" w:hAnsi="Garamond"/>
          <w:b/>
          <w:bCs/>
          <w:sz w:val="20"/>
          <w:szCs w:val="20"/>
        </w:rPr>
        <w:t>L1 event</w:t>
      </w:r>
      <w:r>
        <w:rPr>
          <w:rFonts w:ascii="Garamond" w:hAnsi="Garamond"/>
          <w:b/>
          <w:bCs/>
          <w:sz w:val="20"/>
          <w:szCs w:val="20"/>
        </w:rPr>
        <w:t>-</w:t>
      </w:r>
      <w:r w:rsidRPr="00AE6A3C">
        <w:rPr>
          <w:rFonts w:ascii="Garamond" w:hAnsi="Garamond"/>
          <w:b/>
          <w:bCs/>
          <w:sz w:val="20"/>
          <w:szCs w:val="20"/>
        </w:rPr>
        <w:t xml:space="preserve">based measurement report should be </w:t>
      </w:r>
      <w:r>
        <w:rPr>
          <w:rFonts w:ascii="Garamond" w:hAnsi="Garamond"/>
          <w:b/>
          <w:bCs/>
          <w:sz w:val="20"/>
          <w:szCs w:val="20"/>
        </w:rPr>
        <w:t>considered.</w:t>
      </w:r>
    </w:p>
    <w:sectPr w:rsidR="00EB2BDC" w:rsidRPr="009166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FA2CA" w14:textId="77777777" w:rsidR="00843A8C" w:rsidRDefault="00843A8C" w:rsidP="00FC6453">
      <w:pPr>
        <w:spacing w:after="0" w:line="240" w:lineRule="auto"/>
      </w:pPr>
      <w:r>
        <w:separator/>
      </w:r>
    </w:p>
  </w:endnote>
  <w:endnote w:type="continuationSeparator" w:id="0">
    <w:p w14:paraId="2AC4F597" w14:textId="77777777" w:rsidR="00843A8C" w:rsidRDefault="00843A8C"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B41D6" w14:textId="77777777" w:rsidR="00843A8C" w:rsidRDefault="00843A8C" w:rsidP="00FC6453">
      <w:pPr>
        <w:spacing w:after="0" w:line="240" w:lineRule="auto"/>
      </w:pPr>
      <w:r>
        <w:separator/>
      </w:r>
    </w:p>
  </w:footnote>
  <w:footnote w:type="continuationSeparator" w:id="0">
    <w:p w14:paraId="4EF900DE" w14:textId="77777777" w:rsidR="00843A8C" w:rsidRDefault="00843A8C"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70E0"/>
    <w:multiLevelType w:val="hybridMultilevel"/>
    <w:tmpl w:val="69BCB6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07E0F"/>
    <w:multiLevelType w:val="hybridMultilevel"/>
    <w:tmpl w:val="AC7A3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15:restartNumberingAfterBreak="0">
    <w:nsid w:val="2EC27644"/>
    <w:multiLevelType w:val="hybridMultilevel"/>
    <w:tmpl w:val="69BCB6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C705A06"/>
    <w:multiLevelType w:val="hybridMultilevel"/>
    <w:tmpl w:val="CAB61BFE"/>
    <w:lvl w:ilvl="0" w:tplc="69461C08">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D61238"/>
    <w:multiLevelType w:val="hybridMultilevel"/>
    <w:tmpl w:val="2BB87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3" w15:restartNumberingAfterBreak="0">
    <w:nsid w:val="52653546"/>
    <w:multiLevelType w:val="hybridMultilevel"/>
    <w:tmpl w:val="E78C70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A57F0F"/>
    <w:multiLevelType w:val="hybridMultilevel"/>
    <w:tmpl w:val="65C250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427204"/>
    <w:multiLevelType w:val="hybridMultilevel"/>
    <w:tmpl w:val="69BCB6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3C42CB5"/>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C5B2A76"/>
    <w:multiLevelType w:val="hybridMultilevel"/>
    <w:tmpl w:val="35208C4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B3C121B"/>
    <w:multiLevelType w:val="hybridMultilevel"/>
    <w:tmpl w:val="82EE4646"/>
    <w:lvl w:ilvl="0" w:tplc="10DE59F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20"/>
  </w:num>
  <w:num w:numId="3">
    <w:abstractNumId w:val="12"/>
  </w:num>
  <w:num w:numId="4">
    <w:abstractNumId w:val="3"/>
  </w:num>
  <w:num w:numId="5">
    <w:abstractNumId w:val="17"/>
  </w:num>
  <w:num w:numId="6">
    <w:abstractNumId w:val="1"/>
  </w:num>
  <w:num w:numId="7">
    <w:abstractNumId w:val="3"/>
  </w:num>
  <w:num w:numId="8">
    <w:abstractNumId w:val="12"/>
  </w:num>
  <w:num w:numId="9">
    <w:abstractNumId w:val="6"/>
  </w:num>
  <w:num w:numId="10">
    <w:abstractNumId w:val="9"/>
  </w:num>
  <w:num w:numId="11">
    <w:abstractNumId w:val="8"/>
  </w:num>
  <w:num w:numId="12">
    <w:abstractNumId w:val="4"/>
  </w:num>
  <w:num w:numId="13">
    <w:abstractNumId w:val="11"/>
  </w:num>
  <w:num w:numId="14">
    <w:abstractNumId w:val="13"/>
  </w:num>
  <w:num w:numId="15">
    <w:abstractNumId w:val="18"/>
  </w:num>
  <w:num w:numId="16">
    <w:abstractNumId w:val="16"/>
  </w:num>
  <w:num w:numId="17">
    <w:abstractNumId w:val="5"/>
  </w:num>
  <w:num w:numId="18">
    <w:abstractNumId w:val="19"/>
  </w:num>
  <w:num w:numId="19">
    <w:abstractNumId w:val="14"/>
  </w:num>
  <w:num w:numId="20">
    <w:abstractNumId w:val="10"/>
  </w:num>
  <w:num w:numId="21">
    <w:abstractNumId w:val="7"/>
  </w:num>
  <w:num w:numId="22">
    <w:abstractNumId w:val="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25ED"/>
    <w:rsid w:val="0000648A"/>
    <w:rsid w:val="0001114C"/>
    <w:rsid w:val="00027C7A"/>
    <w:rsid w:val="000308FA"/>
    <w:rsid w:val="000316E0"/>
    <w:rsid w:val="000338BB"/>
    <w:rsid w:val="00035774"/>
    <w:rsid w:val="00037EC7"/>
    <w:rsid w:val="00052297"/>
    <w:rsid w:val="000601F6"/>
    <w:rsid w:val="0006170C"/>
    <w:rsid w:val="00072F36"/>
    <w:rsid w:val="00082C7A"/>
    <w:rsid w:val="00094C5A"/>
    <w:rsid w:val="000A165E"/>
    <w:rsid w:val="000A4C8B"/>
    <w:rsid w:val="000A6F76"/>
    <w:rsid w:val="000B5090"/>
    <w:rsid w:val="000C124B"/>
    <w:rsid w:val="000E38D0"/>
    <w:rsid w:val="00104D48"/>
    <w:rsid w:val="00106FBF"/>
    <w:rsid w:val="0011313A"/>
    <w:rsid w:val="00113BC6"/>
    <w:rsid w:val="001243B1"/>
    <w:rsid w:val="00124CEF"/>
    <w:rsid w:val="00133BAB"/>
    <w:rsid w:val="00135446"/>
    <w:rsid w:val="00135D25"/>
    <w:rsid w:val="00155AAA"/>
    <w:rsid w:val="00160140"/>
    <w:rsid w:val="001611F1"/>
    <w:rsid w:val="00165DC3"/>
    <w:rsid w:val="0017228D"/>
    <w:rsid w:val="00172899"/>
    <w:rsid w:val="0017502D"/>
    <w:rsid w:val="00180B0E"/>
    <w:rsid w:val="00182CD2"/>
    <w:rsid w:val="001A3916"/>
    <w:rsid w:val="001A547E"/>
    <w:rsid w:val="001A6BB3"/>
    <w:rsid w:val="001B3499"/>
    <w:rsid w:val="001C2F13"/>
    <w:rsid w:val="001C791C"/>
    <w:rsid w:val="001C7BF0"/>
    <w:rsid w:val="001C7CC0"/>
    <w:rsid w:val="001D584A"/>
    <w:rsid w:val="001E7CD5"/>
    <w:rsid w:val="001F1A9F"/>
    <w:rsid w:val="001F657F"/>
    <w:rsid w:val="002014B3"/>
    <w:rsid w:val="00206630"/>
    <w:rsid w:val="0021733E"/>
    <w:rsid w:val="00221509"/>
    <w:rsid w:val="00224828"/>
    <w:rsid w:val="002268C7"/>
    <w:rsid w:val="002325AD"/>
    <w:rsid w:val="00233B00"/>
    <w:rsid w:val="0023735A"/>
    <w:rsid w:val="00241D01"/>
    <w:rsid w:val="00247E40"/>
    <w:rsid w:val="00251244"/>
    <w:rsid w:val="0027067B"/>
    <w:rsid w:val="00276A24"/>
    <w:rsid w:val="002A55D9"/>
    <w:rsid w:val="002B5A3D"/>
    <w:rsid w:val="002C3D2D"/>
    <w:rsid w:val="002D1A97"/>
    <w:rsid w:val="002D1DF2"/>
    <w:rsid w:val="002E3235"/>
    <w:rsid w:val="002E5577"/>
    <w:rsid w:val="002E5873"/>
    <w:rsid w:val="002F5A69"/>
    <w:rsid w:val="003145C8"/>
    <w:rsid w:val="003154FB"/>
    <w:rsid w:val="00324F3B"/>
    <w:rsid w:val="00346AB2"/>
    <w:rsid w:val="00353336"/>
    <w:rsid w:val="00361B8B"/>
    <w:rsid w:val="003644B0"/>
    <w:rsid w:val="00393691"/>
    <w:rsid w:val="003A3CBD"/>
    <w:rsid w:val="003A422B"/>
    <w:rsid w:val="003A6C51"/>
    <w:rsid w:val="003C6344"/>
    <w:rsid w:val="003D2B38"/>
    <w:rsid w:val="003E0030"/>
    <w:rsid w:val="003E1925"/>
    <w:rsid w:val="003E3C25"/>
    <w:rsid w:val="003E6223"/>
    <w:rsid w:val="003F1FB2"/>
    <w:rsid w:val="00402305"/>
    <w:rsid w:val="00410779"/>
    <w:rsid w:val="00412CD0"/>
    <w:rsid w:val="00430987"/>
    <w:rsid w:val="00436ECE"/>
    <w:rsid w:val="004412D3"/>
    <w:rsid w:val="00443173"/>
    <w:rsid w:val="00452B28"/>
    <w:rsid w:val="00452D98"/>
    <w:rsid w:val="004531F2"/>
    <w:rsid w:val="004537EC"/>
    <w:rsid w:val="00466103"/>
    <w:rsid w:val="00473823"/>
    <w:rsid w:val="00481055"/>
    <w:rsid w:val="00484DDA"/>
    <w:rsid w:val="00486034"/>
    <w:rsid w:val="00497DF4"/>
    <w:rsid w:val="00497F46"/>
    <w:rsid w:val="004A72C1"/>
    <w:rsid w:val="004B458E"/>
    <w:rsid w:val="004B7C91"/>
    <w:rsid w:val="004C2669"/>
    <w:rsid w:val="004C532C"/>
    <w:rsid w:val="004D1BB9"/>
    <w:rsid w:val="004D21B9"/>
    <w:rsid w:val="004D346B"/>
    <w:rsid w:val="004D45C8"/>
    <w:rsid w:val="004E2DF0"/>
    <w:rsid w:val="004E41EE"/>
    <w:rsid w:val="00506CEF"/>
    <w:rsid w:val="00507030"/>
    <w:rsid w:val="0051762B"/>
    <w:rsid w:val="00521BD3"/>
    <w:rsid w:val="00540952"/>
    <w:rsid w:val="005409CE"/>
    <w:rsid w:val="00540E31"/>
    <w:rsid w:val="005417A6"/>
    <w:rsid w:val="005417D3"/>
    <w:rsid w:val="0057200D"/>
    <w:rsid w:val="005B22B1"/>
    <w:rsid w:val="005B7405"/>
    <w:rsid w:val="005B7C0E"/>
    <w:rsid w:val="005E003D"/>
    <w:rsid w:val="005E09BE"/>
    <w:rsid w:val="005F51BD"/>
    <w:rsid w:val="00607A1C"/>
    <w:rsid w:val="00607DE8"/>
    <w:rsid w:val="0061405D"/>
    <w:rsid w:val="00630420"/>
    <w:rsid w:val="00647426"/>
    <w:rsid w:val="00654BEE"/>
    <w:rsid w:val="0065544D"/>
    <w:rsid w:val="00657CA7"/>
    <w:rsid w:val="00665C1E"/>
    <w:rsid w:val="00666848"/>
    <w:rsid w:val="00671B79"/>
    <w:rsid w:val="00687224"/>
    <w:rsid w:val="0069202C"/>
    <w:rsid w:val="00695FC8"/>
    <w:rsid w:val="0069755E"/>
    <w:rsid w:val="006B1AD8"/>
    <w:rsid w:val="006D0714"/>
    <w:rsid w:val="006D379B"/>
    <w:rsid w:val="006F57F6"/>
    <w:rsid w:val="006F5EEC"/>
    <w:rsid w:val="00700BC8"/>
    <w:rsid w:val="00700C64"/>
    <w:rsid w:val="007022BC"/>
    <w:rsid w:val="00710217"/>
    <w:rsid w:val="007123BA"/>
    <w:rsid w:val="007141D3"/>
    <w:rsid w:val="00730096"/>
    <w:rsid w:val="00731253"/>
    <w:rsid w:val="007402ED"/>
    <w:rsid w:val="00742E3F"/>
    <w:rsid w:val="00745C40"/>
    <w:rsid w:val="0074618D"/>
    <w:rsid w:val="00746B52"/>
    <w:rsid w:val="00750FCF"/>
    <w:rsid w:val="007549E8"/>
    <w:rsid w:val="00770BE4"/>
    <w:rsid w:val="00771B6C"/>
    <w:rsid w:val="00776A56"/>
    <w:rsid w:val="00784908"/>
    <w:rsid w:val="007873E2"/>
    <w:rsid w:val="00793A76"/>
    <w:rsid w:val="00794482"/>
    <w:rsid w:val="007A3C27"/>
    <w:rsid w:val="007A45FC"/>
    <w:rsid w:val="007B326C"/>
    <w:rsid w:val="007B3F8E"/>
    <w:rsid w:val="007B6B92"/>
    <w:rsid w:val="007C6053"/>
    <w:rsid w:val="007D184E"/>
    <w:rsid w:val="007D3A15"/>
    <w:rsid w:val="007E384C"/>
    <w:rsid w:val="007F0388"/>
    <w:rsid w:val="007F6CA4"/>
    <w:rsid w:val="00816E04"/>
    <w:rsid w:val="0082133D"/>
    <w:rsid w:val="00841BFB"/>
    <w:rsid w:val="00843A8C"/>
    <w:rsid w:val="00850A43"/>
    <w:rsid w:val="00854030"/>
    <w:rsid w:val="008633BD"/>
    <w:rsid w:val="0086405A"/>
    <w:rsid w:val="00864147"/>
    <w:rsid w:val="008666B6"/>
    <w:rsid w:val="00875528"/>
    <w:rsid w:val="00875705"/>
    <w:rsid w:val="00884829"/>
    <w:rsid w:val="008A1EEB"/>
    <w:rsid w:val="008B665C"/>
    <w:rsid w:val="008C7136"/>
    <w:rsid w:val="008D068F"/>
    <w:rsid w:val="008D7872"/>
    <w:rsid w:val="008E14F7"/>
    <w:rsid w:val="008F1DD5"/>
    <w:rsid w:val="008F45D3"/>
    <w:rsid w:val="008F7226"/>
    <w:rsid w:val="008F7661"/>
    <w:rsid w:val="008F78C8"/>
    <w:rsid w:val="008F799D"/>
    <w:rsid w:val="009166F1"/>
    <w:rsid w:val="00934F0E"/>
    <w:rsid w:val="00942490"/>
    <w:rsid w:val="009458EE"/>
    <w:rsid w:val="0095696E"/>
    <w:rsid w:val="00960A79"/>
    <w:rsid w:val="00960B44"/>
    <w:rsid w:val="00973E92"/>
    <w:rsid w:val="00975555"/>
    <w:rsid w:val="009829CD"/>
    <w:rsid w:val="009856B8"/>
    <w:rsid w:val="009B6915"/>
    <w:rsid w:val="009B7DC6"/>
    <w:rsid w:val="009E1EF8"/>
    <w:rsid w:val="009F1905"/>
    <w:rsid w:val="009F554A"/>
    <w:rsid w:val="009F6F3F"/>
    <w:rsid w:val="00A002DF"/>
    <w:rsid w:val="00A06ABA"/>
    <w:rsid w:val="00A07924"/>
    <w:rsid w:val="00A13980"/>
    <w:rsid w:val="00A25C10"/>
    <w:rsid w:val="00A31EC7"/>
    <w:rsid w:val="00A359FD"/>
    <w:rsid w:val="00A3787E"/>
    <w:rsid w:val="00A5012C"/>
    <w:rsid w:val="00A62F0D"/>
    <w:rsid w:val="00A71ABE"/>
    <w:rsid w:val="00A760D0"/>
    <w:rsid w:val="00A90ACD"/>
    <w:rsid w:val="00A92D82"/>
    <w:rsid w:val="00A948BC"/>
    <w:rsid w:val="00A972B3"/>
    <w:rsid w:val="00AC4BE0"/>
    <w:rsid w:val="00AC4D21"/>
    <w:rsid w:val="00AD04BB"/>
    <w:rsid w:val="00AD5884"/>
    <w:rsid w:val="00AD7C63"/>
    <w:rsid w:val="00AE0787"/>
    <w:rsid w:val="00AE1FF9"/>
    <w:rsid w:val="00AE6A3C"/>
    <w:rsid w:val="00AE6FD9"/>
    <w:rsid w:val="00AE74BE"/>
    <w:rsid w:val="00AE79A9"/>
    <w:rsid w:val="00AF2733"/>
    <w:rsid w:val="00B0207E"/>
    <w:rsid w:val="00B0359E"/>
    <w:rsid w:val="00B12BF3"/>
    <w:rsid w:val="00B13AA5"/>
    <w:rsid w:val="00B22907"/>
    <w:rsid w:val="00B236FD"/>
    <w:rsid w:val="00B2747B"/>
    <w:rsid w:val="00B35AF2"/>
    <w:rsid w:val="00B40D6D"/>
    <w:rsid w:val="00B464C2"/>
    <w:rsid w:val="00B47449"/>
    <w:rsid w:val="00B563DA"/>
    <w:rsid w:val="00B65898"/>
    <w:rsid w:val="00BA2F77"/>
    <w:rsid w:val="00BA3BF7"/>
    <w:rsid w:val="00BA3E4B"/>
    <w:rsid w:val="00BB1B16"/>
    <w:rsid w:val="00BD622F"/>
    <w:rsid w:val="00BE1C4F"/>
    <w:rsid w:val="00BE3D82"/>
    <w:rsid w:val="00BF0EF3"/>
    <w:rsid w:val="00C03969"/>
    <w:rsid w:val="00C1449E"/>
    <w:rsid w:val="00C15DAD"/>
    <w:rsid w:val="00C250FF"/>
    <w:rsid w:val="00C25320"/>
    <w:rsid w:val="00C321C3"/>
    <w:rsid w:val="00C53394"/>
    <w:rsid w:val="00C56A2A"/>
    <w:rsid w:val="00C60EB3"/>
    <w:rsid w:val="00C61948"/>
    <w:rsid w:val="00C62093"/>
    <w:rsid w:val="00C6410A"/>
    <w:rsid w:val="00C72854"/>
    <w:rsid w:val="00C77872"/>
    <w:rsid w:val="00C81562"/>
    <w:rsid w:val="00C82476"/>
    <w:rsid w:val="00C92DB8"/>
    <w:rsid w:val="00C94A04"/>
    <w:rsid w:val="00CA7032"/>
    <w:rsid w:val="00CA70AC"/>
    <w:rsid w:val="00CA7161"/>
    <w:rsid w:val="00CE28BC"/>
    <w:rsid w:val="00CE5392"/>
    <w:rsid w:val="00CE5633"/>
    <w:rsid w:val="00D013E2"/>
    <w:rsid w:val="00D1274C"/>
    <w:rsid w:val="00D1282E"/>
    <w:rsid w:val="00D14770"/>
    <w:rsid w:val="00D220A4"/>
    <w:rsid w:val="00D26149"/>
    <w:rsid w:val="00D419F9"/>
    <w:rsid w:val="00D41CA6"/>
    <w:rsid w:val="00D46415"/>
    <w:rsid w:val="00D46CB0"/>
    <w:rsid w:val="00D47BDD"/>
    <w:rsid w:val="00D53AAC"/>
    <w:rsid w:val="00D57A71"/>
    <w:rsid w:val="00D61B3E"/>
    <w:rsid w:val="00D700F9"/>
    <w:rsid w:val="00D833D0"/>
    <w:rsid w:val="00DA22DE"/>
    <w:rsid w:val="00DA3B4B"/>
    <w:rsid w:val="00DA6BD7"/>
    <w:rsid w:val="00DB4348"/>
    <w:rsid w:val="00DB5A04"/>
    <w:rsid w:val="00DB7631"/>
    <w:rsid w:val="00DB7AB5"/>
    <w:rsid w:val="00DC3921"/>
    <w:rsid w:val="00DC4C4A"/>
    <w:rsid w:val="00DC5C96"/>
    <w:rsid w:val="00DD2F3B"/>
    <w:rsid w:val="00DE0B2B"/>
    <w:rsid w:val="00DE2F9C"/>
    <w:rsid w:val="00DE7223"/>
    <w:rsid w:val="00DF248A"/>
    <w:rsid w:val="00DF69EB"/>
    <w:rsid w:val="00E107F8"/>
    <w:rsid w:val="00E16972"/>
    <w:rsid w:val="00E30F4C"/>
    <w:rsid w:val="00E310FB"/>
    <w:rsid w:val="00E403C3"/>
    <w:rsid w:val="00E4263F"/>
    <w:rsid w:val="00E54F3D"/>
    <w:rsid w:val="00E60E26"/>
    <w:rsid w:val="00E63EFE"/>
    <w:rsid w:val="00E654C7"/>
    <w:rsid w:val="00E73984"/>
    <w:rsid w:val="00E7442C"/>
    <w:rsid w:val="00E75AC8"/>
    <w:rsid w:val="00E76289"/>
    <w:rsid w:val="00E85334"/>
    <w:rsid w:val="00E926EA"/>
    <w:rsid w:val="00E938E5"/>
    <w:rsid w:val="00E96247"/>
    <w:rsid w:val="00E96543"/>
    <w:rsid w:val="00EA7A3A"/>
    <w:rsid w:val="00EB2BDC"/>
    <w:rsid w:val="00EB56D4"/>
    <w:rsid w:val="00EC7912"/>
    <w:rsid w:val="00EC7CC3"/>
    <w:rsid w:val="00ED13B1"/>
    <w:rsid w:val="00ED25DC"/>
    <w:rsid w:val="00ED3A29"/>
    <w:rsid w:val="00ED783C"/>
    <w:rsid w:val="00EE0164"/>
    <w:rsid w:val="00EE3388"/>
    <w:rsid w:val="00F04EC8"/>
    <w:rsid w:val="00F06C38"/>
    <w:rsid w:val="00F1744C"/>
    <w:rsid w:val="00F2255F"/>
    <w:rsid w:val="00F35A09"/>
    <w:rsid w:val="00F3640C"/>
    <w:rsid w:val="00F3695A"/>
    <w:rsid w:val="00F3795C"/>
    <w:rsid w:val="00F4462A"/>
    <w:rsid w:val="00F5079E"/>
    <w:rsid w:val="00F5420F"/>
    <w:rsid w:val="00F6771A"/>
    <w:rsid w:val="00F85304"/>
    <w:rsid w:val="00F9300A"/>
    <w:rsid w:val="00F94EFB"/>
    <w:rsid w:val="00F966AE"/>
    <w:rsid w:val="00FB2AD6"/>
    <w:rsid w:val="00FB6005"/>
    <w:rsid w:val="00FC4CD4"/>
    <w:rsid w:val="00FC6453"/>
    <w:rsid w:val="00FD08E6"/>
    <w:rsid w:val="00FE1329"/>
    <w:rsid w:val="00FE1DCE"/>
    <w:rsid w:val="00FF0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uiPriority w:val="99"/>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18"/>
      </w:numPr>
      <w:spacing w:before="60" w:after="0" w:line="240" w:lineRule="auto"/>
    </w:pPr>
    <w:rPr>
      <w:rFonts w:ascii="Arial" w:eastAsia="MS Mincho" w:hAnsi="Arial" w:cs="Times New Roman"/>
      <w:b/>
      <w:sz w:val="20"/>
      <w:szCs w:val="24"/>
      <w:lang w:val="en-GB" w:eastAsia="en-GB"/>
    </w:rPr>
  </w:style>
  <w:style w:type="paragraph" w:styleId="Revision">
    <w:name w:val="Revision"/>
    <w:hidden/>
    <w:uiPriority w:val="99"/>
    <w:semiHidden/>
    <w:rsid w:val="00AE6A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5</cp:revision>
  <dcterms:created xsi:type="dcterms:W3CDTF">2022-09-29T09:48:00Z</dcterms:created>
  <dcterms:modified xsi:type="dcterms:W3CDTF">2022-09-29T15:22:00Z</dcterms:modified>
</cp:coreProperties>
</file>